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A54" w:rsidRPr="004D7A54" w:rsidRDefault="004D7A54" w:rsidP="007E4FA8">
      <w:pPr>
        <w:jc w:val="both"/>
        <w:rPr>
          <w:b/>
        </w:rPr>
      </w:pPr>
      <w:r w:rsidRPr="004D7A54">
        <w:rPr>
          <w:b/>
        </w:rPr>
        <w:t xml:space="preserve">Formare profesionala in mediu rural – codul – M2/1 A </w:t>
      </w:r>
    </w:p>
    <w:p w:rsidR="004D7A54" w:rsidRPr="004D7A54" w:rsidRDefault="004D7A54" w:rsidP="007E4FA8">
      <w:pPr>
        <w:jc w:val="both"/>
        <w:rPr>
          <w:b/>
        </w:rPr>
      </w:pPr>
    </w:p>
    <w:p w:rsidR="004D7A54" w:rsidRPr="004D7A54" w:rsidRDefault="004D7A54" w:rsidP="007E4FA8">
      <w:pPr>
        <w:jc w:val="both"/>
        <w:rPr>
          <w:b/>
        </w:rPr>
      </w:pPr>
      <w:r w:rsidRPr="004D7A54">
        <w:rPr>
          <w:b/>
        </w:rPr>
        <w:t>Tipul măsurii</w:t>
      </w:r>
    </w:p>
    <w:p w:rsidR="004D7A54" w:rsidRDefault="004D7A54" w:rsidP="007E4FA8">
      <w:pPr>
        <w:spacing w:after="0"/>
        <w:jc w:val="both"/>
      </w:pPr>
      <w:r>
        <w:t xml:space="preserve">□  INVESTIȚII </w:t>
      </w:r>
    </w:p>
    <w:p w:rsidR="004D7A54" w:rsidRDefault="004D7A54" w:rsidP="007E4FA8">
      <w:pPr>
        <w:spacing w:after="0"/>
        <w:jc w:val="both"/>
      </w:pPr>
      <w:r>
        <w:t xml:space="preserve">X SERVICII </w:t>
      </w:r>
    </w:p>
    <w:p w:rsidR="004D7A54" w:rsidRDefault="004D7A54" w:rsidP="007E4FA8">
      <w:pPr>
        <w:spacing w:after="0"/>
        <w:jc w:val="both"/>
      </w:pPr>
      <w:r>
        <w:t xml:space="preserve">□ SPRIJIN FORFETAR </w:t>
      </w:r>
    </w:p>
    <w:p w:rsidR="004D7A54" w:rsidRDefault="004D7A54" w:rsidP="007E4FA8">
      <w:pPr>
        <w:jc w:val="both"/>
      </w:pPr>
    </w:p>
    <w:p w:rsidR="004D7A54" w:rsidRPr="00B24292" w:rsidRDefault="004D7A54" w:rsidP="007E4FA8">
      <w:pPr>
        <w:jc w:val="both"/>
        <w:rPr>
          <w:b/>
        </w:rPr>
      </w:pPr>
      <w:r w:rsidRPr="004D7A54">
        <w:rPr>
          <w:b/>
        </w:rPr>
        <w:t>1. Descrierea generală a măsurii, inclusiv a logicii de intervenție a acesteia și a contribuției la prioritățile strategiei, la domeniile de intervenție, la obiectivele transversale și a complementarității cu alte măsuri din SDL</w:t>
      </w:r>
      <w:r w:rsidR="00B24292">
        <w:rPr>
          <w:b/>
        </w:rPr>
        <w:t xml:space="preserve"> </w:t>
      </w:r>
    </w:p>
    <w:p w:rsidR="004D7A54" w:rsidRDefault="004D7A54" w:rsidP="007E4FA8">
      <w:pPr>
        <w:jc w:val="both"/>
      </w:pPr>
      <w:r>
        <w:tab/>
        <w:t>Fermierii existenti nu detin pregatirea profesionala in domeniul tehnologiilor, managementului si in general in domeniul agriculturii performante.</w:t>
      </w:r>
    </w:p>
    <w:p w:rsidR="004D7A54" w:rsidRDefault="004D7A54" w:rsidP="007E4FA8">
      <w:pPr>
        <w:jc w:val="both"/>
      </w:pPr>
      <w:r>
        <w:tab/>
        <w:t xml:space="preserve">In cadrul analizei SWOT la nivelul populatiei se regasesc printre punctele tari- tineri cu potential care doresc sa demareze o afacere in domeniul agricol. Activitatea de formare profesionala vizeaza organizarea unor cursuri de initiere, actiuni de informare si activitati demonstrative in domeniile de interes privind activitatea agricola (management, agricultura bio si eco, protectia mediului,etc.) </w:t>
      </w:r>
    </w:p>
    <w:p w:rsidR="004D7A54" w:rsidRDefault="004D7A54" w:rsidP="007E4FA8">
      <w:pPr>
        <w:jc w:val="both"/>
      </w:pPr>
      <w:r>
        <w:t>Asa cum reiese din Analiza diagnostic, in teritoriul acoperit de GAL exista minoritati rome, care isi desfasoara activitatea lucrand ca zilieri.</w:t>
      </w:r>
    </w:p>
    <w:p w:rsidR="004D7A54" w:rsidRDefault="004D7A54" w:rsidP="007E4FA8">
      <w:pPr>
        <w:jc w:val="both"/>
      </w:pPr>
      <w:r>
        <w:t>Pentru a contribui la integrarea sociala se vor organiza doua sesiuni distincte pentru Meserii traditional</w:t>
      </w:r>
      <w:r w:rsidR="00B24292">
        <w:t>e si Certificare de competente.</w:t>
      </w:r>
      <w:r>
        <w:tab/>
      </w:r>
    </w:p>
    <w:p w:rsidR="004D7A54" w:rsidRDefault="004D7A54" w:rsidP="007E4FA8">
      <w:pPr>
        <w:jc w:val="both"/>
      </w:pPr>
      <w:r>
        <w:t xml:space="preserve">Obiectiv de dezvoltare rurală </w:t>
      </w:r>
      <w:r w:rsidRPr="004D7A54">
        <w:rPr>
          <w:b/>
        </w:rPr>
        <w:t>1. Favorizarea competitivității agriculturii</w:t>
      </w:r>
    </w:p>
    <w:p w:rsidR="004D7A54" w:rsidRDefault="004D7A54" w:rsidP="007E4FA8">
      <w:pPr>
        <w:jc w:val="both"/>
      </w:pPr>
      <w:r>
        <w:t>Obiectiv(e) specific(e) al(e) măsurii:  contribuie la doua obiective specifice si anume:</w:t>
      </w:r>
    </w:p>
    <w:p w:rsidR="004D7A54" w:rsidRDefault="004D7A54" w:rsidP="007E4FA8">
      <w:pPr>
        <w:pStyle w:val="ListParagraph"/>
        <w:numPr>
          <w:ilvl w:val="0"/>
          <w:numId w:val="1"/>
        </w:numPr>
        <w:jc w:val="both"/>
      </w:pPr>
      <w:r>
        <w:t>Pregatirea profesionala specifica zonei si</w:t>
      </w:r>
    </w:p>
    <w:p w:rsidR="004D7A54" w:rsidRDefault="004D7A54" w:rsidP="007E4FA8">
      <w:pPr>
        <w:pStyle w:val="ListParagraph"/>
        <w:numPr>
          <w:ilvl w:val="0"/>
          <w:numId w:val="1"/>
        </w:numPr>
        <w:jc w:val="both"/>
      </w:pPr>
      <w:r>
        <w:t>Integrarea sociala a minoritatilor rome.</w:t>
      </w:r>
    </w:p>
    <w:p w:rsidR="004D7A54" w:rsidRDefault="004D7A54" w:rsidP="007E4FA8">
      <w:pPr>
        <w:jc w:val="both"/>
      </w:pPr>
    </w:p>
    <w:p w:rsidR="004D7A54" w:rsidRPr="00B24292" w:rsidRDefault="004D7A54" w:rsidP="007E4FA8">
      <w:pPr>
        <w:jc w:val="both"/>
        <w:rPr>
          <w:b/>
        </w:rPr>
      </w:pPr>
      <w:r>
        <w:t xml:space="preserve">Măsura contribuie la prioritatea </w:t>
      </w:r>
      <w:r w:rsidRPr="004D7A54">
        <w:rPr>
          <w:b/>
        </w:rPr>
        <w:t>1. Încurajarea transferului de cunoștințe și a inovării în agricultură, în s</w:t>
      </w:r>
      <w:r w:rsidR="00B24292">
        <w:rPr>
          <w:b/>
        </w:rPr>
        <w:t>ilvicultură și în zonele rurale</w:t>
      </w:r>
    </w:p>
    <w:p w:rsidR="004D7A54" w:rsidRDefault="004D7A54" w:rsidP="007E4FA8">
      <w:pPr>
        <w:jc w:val="both"/>
      </w:pPr>
      <w:r>
        <w:t xml:space="preserve">Măsura corespunde obiectivelor </w:t>
      </w:r>
      <w:r w:rsidRPr="004D7A54">
        <w:rPr>
          <w:b/>
        </w:rPr>
        <w:t>art. 14.  Sprijin pentru acțiuni de formare profesională</w:t>
      </w:r>
    </w:p>
    <w:p w:rsidR="004D7A54" w:rsidRDefault="004D7A54" w:rsidP="007E4FA8">
      <w:pPr>
        <w:jc w:val="both"/>
      </w:pPr>
      <w:r w:rsidRPr="004D7A54">
        <w:rPr>
          <w:b/>
        </w:rPr>
        <w:t>și de dobândire de competențe</w:t>
      </w:r>
      <w:r>
        <w:t xml:space="preserve"> din Reg. (UE) nr. 1305/2013, activitati demonstr</w:t>
      </w:r>
      <w:r w:rsidR="00B24292">
        <w:t xml:space="preserve">ative si actiuni de informare. </w:t>
      </w:r>
    </w:p>
    <w:p w:rsidR="004D7A54" w:rsidRPr="00B24292" w:rsidRDefault="004D7A54" w:rsidP="007E4FA8">
      <w:pPr>
        <w:jc w:val="both"/>
        <w:rPr>
          <w:b/>
        </w:rPr>
      </w:pPr>
      <w:r>
        <w:t xml:space="preserve">Măsura contribuie la Domeniul de intervenție  </w:t>
      </w:r>
      <w:r w:rsidRPr="004D7A54">
        <w:rPr>
          <w:b/>
        </w:rPr>
        <w:t>1A „Incurajarea inovarii a cooperarii si a creerii unei baze de cunostinte in zone</w:t>
      </w:r>
      <w:r w:rsidR="00B24292">
        <w:rPr>
          <w:b/>
        </w:rPr>
        <w:t>le rurale”</w:t>
      </w:r>
    </w:p>
    <w:p w:rsidR="004D7A54" w:rsidRDefault="004D7A54" w:rsidP="007E4FA8">
      <w:pPr>
        <w:jc w:val="both"/>
      </w:pPr>
      <w:r>
        <w:t xml:space="preserve">Măsura contribuie la obiectivele transversale ale Reg. (UE) nr. 1305/2013: </w:t>
      </w:r>
    </w:p>
    <w:p w:rsidR="004D7A54" w:rsidRDefault="004D7A54" w:rsidP="007E4FA8">
      <w:pPr>
        <w:pStyle w:val="ListParagraph"/>
        <w:numPr>
          <w:ilvl w:val="0"/>
          <w:numId w:val="2"/>
        </w:numPr>
        <w:jc w:val="both"/>
      </w:pPr>
      <w:r>
        <w:t>Mediu si clima – atat fermierii cat si potentialii fermieri vor intelege angajamentele asumate privind protectia mediului, si actiunile de adoptare la efectele schimbarilor climatice.</w:t>
      </w:r>
    </w:p>
    <w:p w:rsidR="004D7A54" w:rsidRDefault="004D7A54" w:rsidP="007E4FA8">
      <w:pPr>
        <w:pStyle w:val="ListParagraph"/>
        <w:numPr>
          <w:ilvl w:val="0"/>
          <w:numId w:val="2"/>
        </w:numPr>
        <w:jc w:val="both"/>
      </w:pPr>
      <w:r>
        <w:lastRenderedPageBreak/>
        <w:t>Cursurile de initiere pot stimula inovarea, in special in randul tinerilor.</w:t>
      </w:r>
    </w:p>
    <w:p w:rsidR="004D7A54" w:rsidRDefault="004D7A54" w:rsidP="007E4FA8">
      <w:pPr>
        <w:jc w:val="both"/>
      </w:pPr>
      <w:r>
        <w:t>Complementaritatea cu alte măsur</w:t>
      </w:r>
      <w:r w:rsidR="00B24292">
        <w:t>i din SDL:  M4/5C „Ferma verde”</w:t>
      </w:r>
    </w:p>
    <w:p w:rsidR="004D7A54" w:rsidRDefault="004D7A54" w:rsidP="007E4FA8">
      <w:pPr>
        <w:jc w:val="both"/>
      </w:pPr>
      <w:r>
        <w:t>Sinergia cu alte măsuri din SDL: Infiintarea structurilor asociative</w:t>
      </w:r>
    </w:p>
    <w:p w:rsidR="004D7A54" w:rsidRDefault="004D7A54" w:rsidP="007E4FA8">
      <w:pPr>
        <w:jc w:val="both"/>
      </w:pPr>
    </w:p>
    <w:p w:rsidR="004D7A54" w:rsidRPr="00B24292" w:rsidRDefault="004D7A54" w:rsidP="007E4FA8">
      <w:pPr>
        <w:jc w:val="both"/>
        <w:rPr>
          <w:b/>
        </w:rPr>
      </w:pPr>
      <w:r w:rsidRPr="004D7A54">
        <w:rPr>
          <w:b/>
        </w:rPr>
        <w:t>2. Valoarea adăugată a măsurii</w:t>
      </w:r>
      <w:r w:rsidR="00B24292">
        <w:rPr>
          <w:b/>
        </w:rPr>
        <w:t xml:space="preserve"> </w:t>
      </w:r>
    </w:p>
    <w:p w:rsidR="004D7A54" w:rsidRDefault="004D7A54" w:rsidP="007E4FA8">
      <w:pPr>
        <w:jc w:val="both"/>
      </w:pPr>
      <w:r>
        <w:tab/>
        <w:t>Prin finantarea acestor tipuri de actiuni atat fermierii existenti cat si cei potentiali, vor dobandi competente si cunostinte necesare dezvoltarii fermelor pe de o parte, si de mariri de noi afaceri pe de alta parte.</w:t>
      </w:r>
    </w:p>
    <w:p w:rsidR="004D7A54" w:rsidRDefault="004D7A54" w:rsidP="007E4FA8">
      <w:pPr>
        <w:jc w:val="both"/>
      </w:pPr>
      <w:r>
        <w:tab/>
        <w:t>De asemenea prin adresarea directa pentru populatia de etnie roma, masura va contribui la diminuarea muncii la negru, la reintegrarea sociala si nu in ultimul rand la prosperitatea personala.</w:t>
      </w:r>
    </w:p>
    <w:p w:rsidR="004D7A54" w:rsidRDefault="004D7A54" w:rsidP="007E4FA8">
      <w:pPr>
        <w:jc w:val="both"/>
      </w:pPr>
      <w:r>
        <w:tab/>
      </w:r>
    </w:p>
    <w:p w:rsidR="004D7A54" w:rsidRPr="00B24292" w:rsidRDefault="004D7A54" w:rsidP="007E4FA8">
      <w:pPr>
        <w:jc w:val="both"/>
        <w:rPr>
          <w:b/>
        </w:rPr>
      </w:pPr>
      <w:r w:rsidRPr="004D7A54">
        <w:rPr>
          <w:b/>
        </w:rPr>
        <w:t>3. Tri</w:t>
      </w:r>
      <w:r w:rsidR="00B24292">
        <w:rPr>
          <w:b/>
        </w:rPr>
        <w:t>miteri la alte acte legislative</w:t>
      </w:r>
    </w:p>
    <w:p w:rsidR="004D7A54" w:rsidRDefault="004D7A54" w:rsidP="007E4FA8">
      <w:pPr>
        <w:jc w:val="both"/>
      </w:pPr>
      <w:r>
        <w:t xml:space="preserve">Legislație UE: </w:t>
      </w:r>
    </w:p>
    <w:p w:rsidR="004D7A54" w:rsidRDefault="004D7A54" w:rsidP="007E4FA8">
      <w:pPr>
        <w:pStyle w:val="ListParagraph"/>
        <w:numPr>
          <w:ilvl w:val="0"/>
          <w:numId w:val="3"/>
        </w:numPr>
        <w:jc w:val="both"/>
      </w:pPr>
      <w:r>
        <w:t xml:space="preserve">R (UE) Nr. 1336/2013 de modificare a Directivelor 2004/17/CE, 2004/18/CE și 2009/81/CE ale Parlamentului European și ale Consiliului în ceea ce privește pragurile de aplicare pentru procedurile de atribuire a contractelor de achiziții </w:t>
      </w:r>
    </w:p>
    <w:p w:rsidR="004D7A54" w:rsidRDefault="004D7A54" w:rsidP="007E4FA8">
      <w:pPr>
        <w:jc w:val="both"/>
      </w:pPr>
      <w:r>
        <w:t>Legislație Națională:</w:t>
      </w:r>
    </w:p>
    <w:p w:rsidR="004D7A54" w:rsidRDefault="004D7A54" w:rsidP="007E4FA8">
      <w:pPr>
        <w:pStyle w:val="ListParagraph"/>
        <w:numPr>
          <w:ilvl w:val="0"/>
          <w:numId w:val="3"/>
        </w:numPr>
        <w:jc w:val="both"/>
      </w:pPr>
      <w:r>
        <w:t xml:space="preserve">Ordonanţă de Urgenţă a Guvernului (OUG)  Nr. 34 /2006 privind atribuirea contractelor de achiziţie publică, a contractelor de concesiune de lucrări publice şi a contractelor de concesiune de servicii cu modificările și completările ulterioare </w:t>
      </w:r>
    </w:p>
    <w:p w:rsidR="004D7A54" w:rsidRDefault="004D7A54" w:rsidP="007E4FA8">
      <w:pPr>
        <w:pStyle w:val="ListParagraph"/>
        <w:numPr>
          <w:ilvl w:val="0"/>
          <w:numId w:val="3"/>
        </w:numPr>
        <w:jc w:val="both"/>
      </w:pPr>
      <w:r>
        <w:t xml:space="preserve">Hotărârea de Guvern (HG) Nr. 925/2006 pentru aprobarea normelor de aplicare a prevederilor referitoare la atribuirea contractelor de achiziţie publică din Ordonanţa de urgenţă a Guvernului nr. 34/2006 privind atribuirea contractelor de achiziţie publică, a contractelor de concesiune de lucrări publice şi a contractelor de concesiune de servicii </w:t>
      </w:r>
    </w:p>
    <w:p w:rsidR="004D7A54" w:rsidRDefault="004D7A54" w:rsidP="007E4FA8">
      <w:pPr>
        <w:pStyle w:val="ListParagraph"/>
        <w:numPr>
          <w:ilvl w:val="0"/>
          <w:numId w:val="3"/>
        </w:numPr>
        <w:jc w:val="both"/>
      </w:pPr>
      <w:r>
        <w:t xml:space="preserve">Legea Nr. 31/1990 privind societăţile comerciale cu modificările și completările ulterioare Ordonanța de Guvern Nr. 26/2000 cu privire la asociații și fundații modificările și completările ulterioare </w:t>
      </w:r>
    </w:p>
    <w:p w:rsidR="004D7A54" w:rsidRDefault="004D7A54" w:rsidP="007E4FA8">
      <w:pPr>
        <w:pStyle w:val="ListParagraph"/>
        <w:numPr>
          <w:ilvl w:val="0"/>
          <w:numId w:val="3"/>
        </w:numPr>
        <w:jc w:val="both"/>
      </w:pPr>
      <w:r>
        <w:t xml:space="preserve">Ordonanţă de Urgenţă a Guvernului (OUG) Nr. 44/2008 privind desfăşurarea activităţilor economice de către persoanele fizice autorizate, întreprinderile individuale şi întreprinderile familiale modificările și completările ulterioare </w:t>
      </w:r>
    </w:p>
    <w:p w:rsidR="004D7A54" w:rsidRDefault="004D7A54" w:rsidP="007E4FA8">
      <w:pPr>
        <w:pStyle w:val="ListParagraph"/>
        <w:numPr>
          <w:ilvl w:val="0"/>
          <w:numId w:val="3"/>
        </w:numPr>
        <w:jc w:val="both"/>
      </w:pPr>
      <w:r>
        <w:t xml:space="preserve">Legea Nr. 1/2011 a educaţiei naţionale modificările și completările ulterioare </w:t>
      </w:r>
    </w:p>
    <w:p w:rsidR="004D7A54" w:rsidRDefault="004D7A54" w:rsidP="007E4FA8">
      <w:pPr>
        <w:pStyle w:val="ListParagraph"/>
        <w:numPr>
          <w:ilvl w:val="0"/>
          <w:numId w:val="3"/>
        </w:numPr>
        <w:jc w:val="both"/>
      </w:pPr>
      <w:r>
        <w:t xml:space="preserve">Ordonanţa de Guvern (OG) Nr. 8 din 23 ianuarie 2013 pentru modificarea şi completarea Legii nr. 571/2003 privind Codul fiscal şi reglementarea unor măsuri financiar-fiscale </w:t>
      </w:r>
    </w:p>
    <w:p w:rsidR="004D7A54" w:rsidRDefault="004D7A54" w:rsidP="007E4FA8">
      <w:pPr>
        <w:pStyle w:val="ListParagraph"/>
        <w:numPr>
          <w:ilvl w:val="0"/>
          <w:numId w:val="3"/>
        </w:numPr>
        <w:jc w:val="both"/>
      </w:pPr>
      <w:r>
        <w:t>Alte acte normative aplicabile în domeniul fiscal</w:t>
      </w:r>
    </w:p>
    <w:p w:rsidR="004D7A54" w:rsidRDefault="004D7A54" w:rsidP="007E4FA8">
      <w:pPr>
        <w:jc w:val="both"/>
      </w:pPr>
    </w:p>
    <w:p w:rsidR="004D7A54" w:rsidRPr="00B24292" w:rsidRDefault="004D7A54" w:rsidP="007E4FA8">
      <w:pPr>
        <w:jc w:val="both"/>
        <w:rPr>
          <w:b/>
        </w:rPr>
      </w:pPr>
      <w:r w:rsidRPr="004D7A54">
        <w:rPr>
          <w:b/>
        </w:rPr>
        <w:t xml:space="preserve">4. Beneficiari </w:t>
      </w:r>
      <w:r w:rsidR="00B24292">
        <w:rPr>
          <w:b/>
        </w:rPr>
        <w:t xml:space="preserve">direcți/indirecți (grup țintă) </w:t>
      </w:r>
    </w:p>
    <w:p w:rsidR="004D7A54" w:rsidRDefault="004D7A54" w:rsidP="007E4FA8">
      <w:pPr>
        <w:jc w:val="both"/>
      </w:pPr>
      <w:r>
        <w:lastRenderedPageBreak/>
        <w:t>Directi – entitati publice sau private  din domeniul formarii profesionale a adultilor;</w:t>
      </w:r>
    </w:p>
    <w:p w:rsidR="004D7A54" w:rsidRDefault="004D7A54" w:rsidP="007E4FA8">
      <w:pPr>
        <w:jc w:val="both"/>
      </w:pPr>
      <w:r>
        <w:t>Indirecti – grupuri tinta identificate la nivelul teritoriului, precum si populatia de etnie roma.</w:t>
      </w:r>
    </w:p>
    <w:p w:rsidR="004D7A54" w:rsidRPr="004D7A54" w:rsidRDefault="004D7A54" w:rsidP="007E4FA8">
      <w:pPr>
        <w:jc w:val="both"/>
        <w:rPr>
          <w:b/>
        </w:rPr>
      </w:pPr>
    </w:p>
    <w:p w:rsidR="004D7A54" w:rsidRPr="00B24292" w:rsidRDefault="004D7A54" w:rsidP="007E4FA8">
      <w:pPr>
        <w:jc w:val="both"/>
        <w:rPr>
          <w:b/>
        </w:rPr>
      </w:pPr>
      <w:r w:rsidRPr="004D7A54">
        <w:rPr>
          <w:b/>
        </w:rPr>
        <w:t>5. Tip de sprijin</w:t>
      </w:r>
      <w:r w:rsidR="00B24292">
        <w:rPr>
          <w:b/>
        </w:rPr>
        <w:t xml:space="preserve"> </w:t>
      </w:r>
    </w:p>
    <w:p w:rsidR="004D7A54" w:rsidRDefault="004D7A54" w:rsidP="007E4FA8">
      <w:pPr>
        <w:jc w:val="both"/>
      </w:pPr>
      <w:r>
        <w:tab/>
        <w:t xml:space="preserve">Rambursarea costurilor eligibile suportate si platite efectiv </w:t>
      </w:r>
    </w:p>
    <w:p w:rsidR="004D7A54" w:rsidRDefault="004D7A54" w:rsidP="007E4FA8">
      <w:pPr>
        <w:jc w:val="both"/>
      </w:pPr>
    </w:p>
    <w:p w:rsidR="004D7A54" w:rsidRPr="004D7A54" w:rsidRDefault="004D7A54" w:rsidP="007E4FA8">
      <w:pPr>
        <w:jc w:val="both"/>
        <w:rPr>
          <w:b/>
        </w:rPr>
      </w:pPr>
      <w:r w:rsidRPr="004D7A54">
        <w:rPr>
          <w:b/>
        </w:rPr>
        <w:t xml:space="preserve">6. Tipuri de acțiuni eligibile și neeligibile </w:t>
      </w:r>
    </w:p>
    <w:p w:rsidR="004D7A54" w:rsidRDefault="004D7A54" w:rsidP="007E4FA8">
      <w:pPr>
        <w:jc w:val="both"/>
      </w:pPr>
      <w:r>
        <w:t xml:space="preserve">Se vor stabili cu respectarea prevederilor din HG nr. 226/2015, Regulamentele (UE) nr. 1305/2013, nr. 1303/2013, PNDR – cap. 8.1 şi fişa tehnică a Sm 19.2 conform prevederilor din Ghidul Solicitantului, aprobat prin OMADR nr. 295/2016. </w:t>
      </w:r>
    </w:p>
    <w:p w:rsidR="004D7A54" w:rsidRDefault="004D7A54" w:rsidP="007E4FA8">
      <w:pPr>
        <w:jc w:val="both"/>
      </w:pPr>
    </w:p>
    <w:p w:rsidR="004D7A54" w:rsidRPr="004D7A54" w:rsidRDefault="004D7A54" w:rsidP="007E4FA8">
      <w:pPr>
        <w:jc w:val="both"/>
        <w:rPr>
          <w:b/>
        </w:rPr>
      </w:pPr>
      <w:r w:rsidRPr="004D7A54">
        <w:rPr>
          <w:b/>
        </w:rPr>
        <w:t xml:space="preserve">Actiuni eligibile sunt: </w:t>
      </w:r>
    </w:p>
    <w:p w:rsidR="004D7A54" w:rsidRDefault="004D7A54" w:rsidP="007E4FA8">
      <w:pPr>
        <w:jc w:val="both"/>
      </w:pPr>
      <w:r>
        <w:t xml:space="preserve">• Onorariile prestatorului (inclusiv  salarii, cazare, masă și transport); </w:t>
      </w:r>
    </w:p>
    <w:p w:rsidR="004D7A54" w:rsidRDefault="004D7A54" w:rsidP="007E4FA8">
      <w:pPr>
        <w:jc w:val="both"/>
      </w:pPr>
      <w:r>
        <w:t xml:space="preserve">• Cheltuieli pentru derularea acțiunilor, după cum urmează:  </w:t>
      </w:r>
    </w:p>
    <w:p w:rsidR="004D7A54" w:rsidRDefault="004D7A54" w:rsidP="007E4FA8">
      <w:pPr>
        <w:ind w:firstLine="567"/>
        <w:jc w:val="both"/>
      </w:pPr>
      <w:r>
        <w:t xml:space="preserve">- cazare, masă și transport participanți, după caz; </w:t>
      </w:r>
    </w:p>
    <w:p w:rsidR="004D7A54" w:rsidRDefault="004D7A54" w:rsidP="007E4FA8">
      <w:pPr>
        <w:ind w:firstLine="567"/>
        <w:jc w:val="both"/>
      </w:pPr>
      <w:r>
        <w:t xml:space="preserve">- materiale didactice și consumabile; </w:t>
      </w:r>
    </w:p>
    <w:p w:rsidR="004D7A54" w:rsidRDefault="004D7A54" w:rsidP="007E4FA8">
      <w:pPr>
        <w:ind w:firstLine="567"/>
        <w:jc w:val="both"/>
      </w:pPr>
      <w:r>
        <w:t xml:space="preserve">- închirierea de echipamente necesare; </w:t>
      </w:r>
    </w:p>
    <w:p w:rsidR="004D7A54" w:rsidRDefault="004D7A54" w:rsidP="007E4FA8">
      <w:pPr>
        <w:ind w:firstLine="567"/>
        <w:jc w:val="both"/>
      </w:pPr>
      <w:r>
        <w:t xml:space="preserve">- închirierea de spaţii pentru susținerea acțiunilor de formare. </w:t>
      </w:r>
    </w:p>
    <w:p w:rsidR="004D7A54" w:rsidRDefault="004D7A54" w:rsidP="007E4FA8">
      <w:pPr>
        <w:jc w:val="both"/>
      </w:pPr>
      <w:r>
        <w:t>Alte cheltuieli strict legate de implementarea acţiunilor de formare profesională (exemplu: cheltuieli pentru închiriere, costurile utilităților aferente spațiului în care se desfășoară managementul de pro</w:t>
      </w:r>
      <w:r w:rsidR="00D67C36">
        <w:t xml:space="preserve">iect acolo unde se justifică). </w:t>
      </w:r>
    </w:p>
    <w:p w:rsidR="004D7A54" w:rsidRPr="004D7A54" w:rsidRDefault="004D7A54" w:rsidP="007E4FA8">
      <w:pPr>
        <w:jc w:val="both"/>
        <w:rPr>
          <w:b/>
        </w:rPr>
      </w:pPr>
      <w:r w:rsidRPr="004D7A54">
        <w:rPr>
          <w:b/>
        </w:rPr>
        <w:t xml:space="preserve">Actiuni neeligibile: </w:t>
      </w:r>
    </w:p>
    <w:p w:rsidR="004D7A54" w:rsidRDefault="004D7A54" w:rsidP="007E4FA8">
      <w:pPr>
        <w:jc w:val="both"/>
      </w:pPr>
      <w:r>
        <w:t xml:space="preserve">• costurile legate de cursuri de formare profesională care fac parte din programul de educație sau sisteme de învătământ secundar și superior;  </w:t>
      </w:r>
    </w:p>
    <w:p w:rsidR="004D7A54" w:rsidRDefault="004D7A54" w:rsidP="007E4FA8">
      <w:pPr>
        <w:jc w:val="both"/>
      </w:pPr>
      <w:r>
        <w:t xml:space="preserve">• costurile legate de cursuri de formare profesională finanțate prin alte programe; </w:t>
      </w:r>
    </w:p>
    <w:p w:rsidR="004D7A54" w:rsidRDefault="004D7A54" w:rsidP="007E4FA8">
      <w:pPr>
        <w:jc w:val="both"/>
      </w:pPr>
      <w:r>
        <w:t xml:space="preserve">• costurile cu investițiile. </w:t>
      </w:r>
    </w:p>
    <w:p w:rsidR="004D7A54" w:rsidRDefault="004D7A54" w:rsidP="007E4FA8">
      <w:pPr>
        <w:jc w:val="both"/>
      </w:pPr>
      <w:r>
        <w:t>Toate cheltuielile trebuie să fie rezonabile, justificate şi să corespundă principiilor unei bune gestionări financiare, în special din punct de vedere al raportului preţ-calitate.</w:t>
      </w:r>
    </w:p>
    <w:p w:rsidR="004D7A54" w:rsidRDefault="004D7A54" w:rsidP="007E4FA8">
      <w:pPr>
        <w:jc w:val="both"/>
      </w:pPr>
    </w:p>
    <w:p w:rsidR="004D7A54" w:rsidRPr="00B24292" w:rsidRDefault="00B24292" w:rsidP="007E4FA8">
      <w:pPr>
        <w:jc w:val="both"/>
        <w:rPr>
          <w:b/>
        </w:rPr>
      </w:pPr>
      <w:r>
        <w:rPr>
          <w:b/>
        </w:rPr>
        <w:t>7. Condiții de eligibilitate</w:t>
      </w:r>
    </w:p>
    <w:p w:rsidR="004D7A54" w:rsidRDefault="004D7A54" w:rsidP="007E4FA8">
      <w:pPr>
        <w:jc w:val="both"/>
      </w:pPr>
      <w:r>
        <w:t xml:space="preserve">•Solicitantul se încadrează în categoria de beneficiari eligibili; </w:t>
      </w:r>
    </w:p>
    <w:p w:rsidR="004D7A54" w:rsidRDefault="004D7A54" w:rsidP="007E4FA8">
      <w:pPr>
        <w:jc w:val="both"/>
      </w:pPr>
      <w:r>
        <w:lastRenderedPageBreak/>
        <w:t xml:space="preserve">•Solicitantul este persoană juridică, constituită în conformitate cu legislaţia în vigoare în România; </w:t>
      </w:r>
    </w:p>
    <w:p w:rsidR="004D7A54" w:rsidRDefault="004D7A54" w:rsidP="007E4FA8">
      <w:pPr>
        <w:jc w:val="both"/>
      </w:pPr>
      <w:r>
        <w:t xml:space="preserve">•Solicitantul are prevăzut în obiectul de activitate activități specifice domeniului de formare profesională; </w:t>
      </w:r>
    </w:p>
    <w:p w:rsidR="004D7A54" w:rsidRDefault="004D7A54" w:rsidP="007E4FA8">
      <w:pPr>
        <w:jc w:val="both"/>
      </w:pPr>
      <w:r>
        <w:t xml:space="preserve">•Solicitantul dispune de personal calificat, propriu sau cooptat; </w:t>
      </w:r>
    </w:p>
    <w:p w:rsidR="004D7A54" w:rsidRDefault="004D7A54" w:rsidP="007E4FA8">
      <w:pPr>
        <w:jc w:val="both"/>
      </w:pPr>
      <w:r>
        <w:t xml:space="preserve">•Solicitantul dovedește experiență anterioară relevantă în proiecte de formare profesională;  </w:t>
      </w:r>
    </w:p>
    <w:p w:rsidR="004D7A54" w:rsidRDefault="004D7A54" w:rsidP="007E4FA8">
      <w:pPr>
        <w:jc w:val="both"/>
      </w:pPr>
      <w:r>
        <w:t xml:space="preserve">•Solicitantul dispune de capacitate tehnică şi financiară necesare derulării activităţilor specifice de formare; </w:t>
      </w:r>
    </w:p>
    <w:p w:rsidR="004D7A54" w:rsidRDefault="004D7A54" w:rsidP="007E4FA8">
      <w:pPr>
        <w:jc w:val="both"/>
      </w:pPr>
      <w:r>
        <w:t xml:space="preserve">•Solicitantul nu este în stare de faliment ori lichidare; </w:t>
      </w:r>
    </w:p>
    <w:p w:rsidR="004D7A54" w:rsidRDefault="004D7A54" w:rsidP="007E4FA8">
      <w:pPr>
        <w:jc w:val="both"/>
      </w:pPr>
      <w:r>
        <w:t xml:space="preserve">•Solicitantul şi-a îndeplinit obligaţiile de plată a impozitelor, taxelor şi contribuţiilor de asigurări sociale către bugetul de stat; </w:t>
      </w:r>
    </w:p>
    <w:p w:rsidR="004D7A54" w:rsidRDefault="004D7A54" w:rsidP="007E4FA8">
      <w:pPr>
        <w:jc w:val="both"/>
      </w:pPr>
    </w:p>
    <w:p w:rsidR="004D7A54" w:rsidRPr="00B24292" w:rsidRDefault="00B24292" w:rsidP="007E4FA8">
      <w:pPr>
        <w:jc w:val="both"/>
        <w:rPr>
          <w:b/>
        </w:rPr>
      </w:pPr>
      <w:r>
        <w:rPr>
          <w:b/>
        </w:rPr>
        <w:t xml:space="preserve">8. Criterii de selecție </w:t>
      </w:r>
    </w:p>
    <w:p w:rsidR="004D7A54" w:rsidRDefault="004D7A54" w:rsidP="007E4FA8">
      <w:pPr>
        <w:jc w:val="both"/>
      </w:pPr>
      <w:r>
        <w:t xml:space="preserve">Principiile de selecție sunt definite, în scopul de a selecta beneficiarii, care ar putea pune în aplicare mai bine măsura după cum urmează: </w:t>
      </w:r>
    </w:p>
    <w:p w:rsidR="004D7A54" w:rsidRDefault="004D7A54" w:rsidP="007E4FA8">
      <w:pPr>
        <w:jc w:val="both"/>
      </w:pPr>
      <w:r>
        <w:t xml:space="preserve">• Principiul nivelului calitativ și tehnic cu privire la curricula cursului, experiența și/sau calificarea trainerilor; </w:t>
      </w:r>
    </w:p>
    <w:p w:rsidR="004D7A54" w:rsidRDefault="004D7A54" w:rsidP="007E4FA8">
      <w:pPr>
        <w:jc w:val="both"/>
      </w:pPr>
      <w:r>
        <w:t xml:space="preserve">• Principiul implementării eficiente și accelerate a proiectului/contractului de formare profesională; </w:t>
      </w:r>
    </w:p>
    <w:p w:rsidR="004D7A54" w:rsidRDefault="004D7A54" w:rsidP="007E4FA8">
      <w:pPr>
        <w:jc w:val="both"/>
      </w:pPr>
      <w:r>
        <w:t>• Principiul parteneriatului cu asociații reprezentative la nivel național și instituții de învățământ și/sau instituții de cercetare dezvoltare, în cadrul lansării propunerilor de proiecte;</w:t>
      </w:r>
    </w:p>
    <w:p w:rsidR="004D7A54" w:rsidRDefault="004D7A54" w:rsidP="007E4FA8">
      <w:pPr>
        <w:jc w:val="both"/>
      </w:pPr>
      <w:r>
        <w:t xml:space="preserve">• Principiul tematicii și al grupului țintă care presupune adaptarea și detalierea tematicii generale stabilite la nevoile grupului țintă dintr-un anumit teritoriu în funcție de aria de cuprindere zonală a proiectului/procedurii de achiziție publică (națională, regională, județeană); </w:t>
      </w:r>
    </w:p>
    <w:p w:rsidR="004D7A54" w:rsidRDefault="004D7A54" w:rsidP="007E4FA8">
      <w:pPr>
        <w:jc w:val="both"/>
      </w:pPr>
      <w:r>
        <w:t>• Principiul eficientei uitilizarii fondurilor. Principiile de selecție vor fi detaliate ulterior în legislația națională subsecventă și vor avea în vedere prevederile art. 49 al Regulamentului (UE) nr. 1305/2013 urmărind să asigure tratamentul egal al solicitanților, o mai bună utilizare a resurselor financiare și direcționarea acestora în conformitate cu prioritățile Uniunii în materie de dezvoltare rurală.</w:t>
      </w:r>
    </w:p>
    <w:p w:rsidR="004D7A54" w:rsidRDefault="004D7A54" w:rsidP="007E4FA8">
      <w:pPr>
        <w:jc w:val="both"/>
      </w:pPr>
    </w:p>
    <w:p w:rsidR="004D7A54" w:rsidRPr="004D7A54" w:rsidRDefault="004D7A54" w:rsidP="007E4FA8">
      <w:pPr>
        <w:jc w:val="both"/>
        <w:rPr>
          <w:b/>
        </w:rPr>
      </w:pPr>
      <w:r w:rsidRPr="004D7A54">
        <w:rPr>
          <w:b/>
        </w:rPr>
        <w:t>9. Sume (aplicabile) și rata sprijinului</w:t>
      </w:r>
    </w:p>
    <w:p w:rsidR="004D7A54" w:rsidRDefault="004D7A54" w:rsidP="007E4FA8">
      <w:pPr>
        <w:jc w:val="both"/>
      </w:pPr>
      <w:r>
        <w:t>100% din totalul cheltuielilor eligibile</w:t>
      </w:r>
    </w:p>
    <w:p w:rsidR="004D7A54" w:rsidRDefault="004D7A54" w:rsidP="007E4FA8">
      <w:pPr>
        <w:jc w:val="both"/>
      </w:pPr>
      <w:r>
        <w:t xml:space="preserve">   10.000 euro/proiect</w:t>
      </w:r>
    </w:p>
    <w:p w:rsidR="004D7A54" w:rsidRDefault="008F482A" w:rsidP="007E4FA8">
      <w:pPr>
        <w:jc w:val="both"/>
      </w:pPr>
      <w:r>
        <w:t>Suma disponibila – 3</w:t>
      </w:r>
      <w:r w:rsidR="004D7A54">
        <w:t>0.000 euro din care 10.000 euro pentru beneficiarii indirecti de etnie roma.</w:t>
      </w:r>
    </w:p>
    <w:p w:rsidR="004D7A54" w:rsidRDefault="004D7A54" w:rsidP="007E4FA8">
      <w:pPr>
        <w:jc w:val="both"/>
      </w:pPr>
      <w:bookmarkStart w:id="0" w:name="_GoBack"/>
      <w:bookmarkEnd w:id="0"/>
    </w:p>
    <w:p w:rsidR="004D7A54" w:rsidRPr="004D7A54" w:rsidRDefault="004D7A54" w:rsidP="007E4FA8">
      <w:pPr>
        <w:jc w:val="both"/>
        <w:rPr>
          <w:b/>
        </w:rPr>
      </w:pPr>
      <w:r w:rsidRPr="004D7A54">
        <w:rPr>
          <w:b/>
        </w:rPr>
        <w:t xml:space="preserve">10. Indicatori de monitorizare </w:t>
      </w:r>
    </w:p>
    <w:p w:rsidR="004D7A54" w:rsidRDefault="004D7A54" w:rsidP="007E4FA8">
      <w:pPr>
        <w:jc w:val="both"/>
      </w:pPr>
      <w:r>
        <w:lastRenderedPageBreak/>
        <w:t>Numarul total al participantilor instruiti.</w:t>
      </w:r>
    </w:p>
    <w:p w:rsidR="004D7A54" w:rsidRDefault="004D7A54" w:rsidP="007E4FA8">
      <w:pPr>
        <w:jc w:val="both"/>
      </w:pPr>
    </w:p>
    <w:p w:rsidR="004D7A54" w:rsidRPr="004D7A54" w:rsidRDefault="004D7A54" w:rsidP="007E4FA8">
      <w:pPr>
        <w:jc w:val="both"/>
        <w:rPr>
          <w:b/>
        </w:rPr>
      </w:pPr>
      <w:r w:rsidRPr="004D7A54">
        <w:rPr>
          <w:b/>
        </w:rPr>
        <w:t xml:space="preserve">Indicatori suplimentari: </w:t>
      </w:r>
    </w:p>
    <w:p w:rsidR="00F0606B" w:rsidRDefault="004D7A54" w:rsidP="007E4FA8">
      <w:pPr>
        <w:jc w:val="both"/>
      </w:pPr>
      <w:r>
        <w:t>Cheltuiala publica</w:t>
      </w:r>
      <w:r w:rsidR="008F482A">
        <w:t xml:space="preserve"> totala – 21</w:t>
      </w:r>
      <w:r>
        <w:t>.000 euro</w:t>
      </w:r>
    </w:p>
    <w:sectPr w:rsidR="00F0606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13B7C"/>
    <w:multiLevelType w:val="hybridMultilevel"/>
    <w:tmpl w:val="AA5C29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52FDA"/>
    <w:multiLevelType w:val="hybridMultilevel"/>
    <w:tmpl w:val="661A9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62A97"/>
    <w:multiLevelType w:val="hybridMultilevel"/>
    <w:tmpl w:val="3DDEF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54"/>
    <w:rsid w:val="00005639"/>
    <w:rsid w:val="00007E73"/>
    <w:rsid w:val="000138F4"/>
    <w:rsid w:val="00034EB3"/>
    <w:rsid w:val="0008166F"/>
    <w:rsid w:val="00091C5D"/>
    <w:rsid w:val="000C64E6"/>
    <w:rsid w:val="000E5DAF"/>
    <w:rsid w:val="000E66C7"/>
    <w:rsid w:val="00105FB1"/>
    <w:rsid w:val="00114CA7"/>
    <w:rsid w:val="001423BD"/>
    <w:rsid w:val="00144AB4"/>
    <w:rsid w:val="00151CA3"/>
    <w:rsid w:val="00171B72"/>
    <w:rsid w:val="001A4982"/>
    <w:rsid w:val="001B0677"/>
    <w:rsid w:val="001D0C2A"/>
    <w:rsid w:val="0021101A"/>
    <w:rsid w:val="0023241A"/>
    <w:rsid w:val="002352FF"/>
    <w:rsid w:val="00266465"/>
    <w:rsid w:val="00272647"/>
    <w:rsid w:val="00286017"/>
    <w:rsid w:val="002B0A93"/>
    <w:rsid w:val="002D2F31"/>
    <w:rsid w:val="00324505"/>
    <w:rsid w:val="00355926"/>
    <w:rsid w:val="0036141C"/>
    <w:rsid w:val="00362A25"/>
    <w:rsid w:val="003663FF"/>
    <w:rsid w:val="003867DF"/>
    <w:rsid w:val="003B21E0"/>
    <w:rsid w:val="003C3BB4"/>
    <w:rsid w:val="003C5008"/>
    <w:rsid w:val="003C61E5"/>
    <w:rsid w:val="004021B3"/>
    <w:rsid w:val="00422D35"/>
    <w:rsid w:val="00467C06"/>
    <w:rsid w:val="00473146"/>
    <w:rsid w:val="004A6D18"/>
    <w:rsid w:val="004A6FCA"/>
    <w:rsid w:val="004D16AF"/>
    <w:rsid w:val="004D3BCF"/>
    <w:rsid w:val="004D7A54"/>
    <w:rsid w:val="004F065D"/>
    <w:rsid w:val="004F79E8"/>
    <w:rsid w:val="00502156"/>
    <w:rsid w:val="00506CD0"/>
    <w:rsid w:val="0052138E"/>
    <w:rsid w:val="0052342E"/>
    <w:rsid w:val="00526AF9"/>
    <w:rsid w:val="00537BF2"/>
    <w:rsid w:val="00540A71"/>
    <w:rsid w:val="00595D19"/>
    <w:rsid w:val="005A3530"/>
    <w:rsid w:val="005B53E9"/>
    <w:rsid w:val="005C3C24"/>
    <w:rsid w:val="005D3154"/>
    <w:rsid w:val="005F762D"/>
    <w:rsid w:val="00634527"/>
    <w:rsid w:val="006369C0"/>
    <w:rsid w:val="00664B29"/>
    <w:rsid w:val="006855CF"/>
    <w:rsid w:val="006B60F2"/>
    <w:rsid w:val="006B779F"/>
    <w:rsid w:val="006F03C1"/>
    <w:rsid w:val="0072614C"/>
    <w:rsid w:val="00745A6A"/>
    <w:rsid w:val="00766FE2"/>
    <w:rsid w:val="00780340"/>
    <w:rsid w:val="007A58DC"/>
    <w:rsid w:val="007A5FB4"/>
    <w:rsid w:val="007C1EFE"/>
    <w:rsid w:val="007D5D50"/>
    <w:rsid w:val="007E4FA8"/>
    <w:rsid w:val="007E52E1"/>
    <w:rsid w:val="00823F87"/>
    <w:rsid w:val="008402CF"/>
    <w:rsid w:val="00843EFD"/>
    <w:rsid w:val="00845C30"/>
    <w:rsid w:val="008530CD"/>
    <w:rsid w:val="00865587"/>
    <w:rsid w:val="00876B08"/>
    <w:rsid w:val="008A4A53"/>
    <w:rsid w:val="008E018B"/>
    <w:rsid w:val="008F482A"/>
    <w:rsid w:val="008F74A6"/>
    <w:rsid w:val="00906E9F"/>
    <w:rsid w:val="009071B4"/>
    <w:rsid w:val="0092267A"/>
    <w:rsid w:val="009363EE"/>
    <w:rsid w:val="00943DE9"/>
    <w:rsid w:val="00970E1D"/>
    <w:rsid w:val="009E3E9D"/>
    <w:rsid w:val="00A00E3A"/>
    <w:rsid w:val="00A165EC"/>
    <w:rsid w:val="00A33926"/>
    <w:rsid w:val="00A541D1"/>
    <w:rsid w:val="00A606DF"/>
    <w:rsid w:val="00A619B0"/>
    <w:rsid w:val="00A97187"/>
    <w:rsid w:val="00AC7AB4"/>
    <w:rsid w:val="00AD14F2"/>
    <w:rsid w:val="00AD4483"/>
    <w:rsid w:val="00AE6E1E"/>
    <w:rsid w:val="00AF009A"/>
    <w:rsid w:val="00AF2DD6"/>
    <w:rsid w:val="00AF45ED"/>
    <w:rsid w:val="00AF4F67"/>
    <w:rsid w:val="00AF7644"/>
    <w:rsid w:val="00B012BA"/>
    <w:rsid w:val="00B03E57"/>
    <w:rsid w:val="00B06BE4"/>
    <w:rsid w:val="00B24292"/>
    <w:rsid w:val="00B3663A"/>
    <w:rsid w:val="00BB0240"/>
    <w:rsid w:val="00BB230E"/>
    <w:rsid w:val="00BB2D46"/>
    <w:rsid w:val="00BB5AFD"/>
    <w:rsid w:val="00C058CE"/>
    <w:rsid w:val="00C07856"/>
    <w:rsid w:val="00C11FAA"/>
    <w:rsid w:val="00C25FDA"/>
    <w:rsid w:val="00C3524A"/>
    <w:rsid w:val="00C423AA"/>
    <w:rsid w:val="00C44DDA"/>
    <w:rsid w:val="00C719F0"/>
    <w:rsid w:val="00CC1BF0"/>
    <w:rsid w:val="00CC3ECF"/>
    <w:rsid w:val="00CF2780"/>
    <w:rsid w:val="00CF656B"/>
    <w:rsid w:val="00D0158B"/>
    <w:rsid w:val="00D161E4"/>
    <w:rsid w:val="00D351CE"/>
    <w:rsid w:val="00D358BE"/>
    <w:rsid w:val="00D54CFE"/>
    <w:rsid w:val="00D57279"/>
    <w:rsid w:val="00D679F8"/>
    <w:rsid w:val="00D67C36"/>
    <w:rsid w:val="00DA3434"/>
    <w:rsid w:val="00DA3911"/>
    <w:rsid w:val="00DA5C3B"/>
    <w:rsid w:val="00DA5D4E"/>
    <w:rsid w:val="00DE4807"/>
    <w:rsid w:val="00E232FA"/>
    <w:rsid w:val="00E26FA6"/>
    <w:rsid w:val="00E55FFF"/>
    <w:rsid w:val="00E7797A"/>
    <w:rsid w:val="00E83F44"/>
    <w:rsid w:val="00E96749"/>
    <w:rsid w:val="00EA7A8C"/>
    <w:rsid w:val="00EB2A8A"/>
    <w:rsid w:val="00EE31FA"/>
    <w:rsid w:val="00EF3679"/>
    <w:rsid w:val="00F0606B"/>
    <w:rsid w:val="00F31E3D"/>
    <w:rsid w:val="00F7556D"/>
    <w:rsid w:val="00F77425"/>
    <w:rsid w:val="00F84E01"/>
    <w:rsid w:val="00F84E25"/>
    <w:rsid w:val="00F862C1"/>
    <w:rsid w:val="00F94F91"/>
    <w:rsid w:val="00FB5823"/>
    <w:rsid w:val="00FC0E7C"/>
    <w:rsid w:val="00FE777A"/>
    <w:rsid w:val="00FF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C656"/>
  <w15:chartTrackingRefBased/>
  <w15:docId w15:val="{8958DB70-1DCD-46E9-A72A-6896620A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2018-12-11T10:47:00Z</dcterms:created>
  <dcterms:modified xsi:type="dcterms:W3CDTF">2018-12-11T10:48:00Z</dcterms:modified>
</cp:coreProperties>
</file>